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2" w:rsidRDefault="002F6C44">
      <w:pPr>
        <w:pStyle w:val="30"/>
        <w:framePr w:w="9437" w:h="705" w:hRule="exact" w:wrap="none" w:vAnchor="page" w:hAnchor="page" w:x="1612" w:y="3635"/>
        <w:shd w:val="clear" w:color="auto" w:fill="auto"/>
        <w:spacing w:after="0"/>
        <w:ind w:right="20"/>
      </w:pPr>
      <w:r>
        <w:t>МЕСТНАЯ АДМИНИСТРАЦИЯ</w:t>
      </w:r>
      <w:r>
        <w:br/>
        <w:t>АНДРЕЕВСКОГО МУНИЦИПАЛЬНОГО ОКРУГА</w:t>
      </w:r>
    </w:p>
    <w:p w:rsidR="003D7632" w:rsidRDefault="002F6C44">
      <w:pPr>
        <w:pStyle w:val="10"/>
        <w:framePr w:w="9437" w:h="991" w:hRule="exact" w:wrap="none" w:vAnchor="page" w:hAnchor="page" w:x="1612" w:y="4608"/>
        <w:shd w:val="clear" w:color="auto" w:fill="auto"/>
        <w:spacing w:before="0" w:after="114" w:line="400" w:lineRule="exact"/>
        <w:ind w:right="20"/>
      </w:pPr>
      <w:bookmarkStart w:id="0" w:name="bookmark0"/>
      <w:r>
        <w:t>ПОСТАНОВЛЕНИЕ</w:t>
      </w:r>
      <w:bookmarkEnd w:id="0"/>
    </w:p>
    <w:p w:rsidR="003D7632" w:rsidRDefault="002F6C44">
      <w:pPr>
        <w:pStyle w:val="10"/>
        <w:framePr w:w="9437" w:h="991" w:hRule="exact" w:wrap="none" w:vAnchor="page" w:hAnchor="page" w:x="1612" w:y="4608"/>
        <w:shd w:val="clear" w:color="auto" w:fill="auto"/>
        <w:spacing w:before="0" w:after="0" w:line="400" w:lineRule="exact"/>
        <w:ind w:right="20"/>
      </w:pPr>
      <w:bookmarkStart w:id="1" w:name="bookmark1"/>
      <w:r>
        <w:t>№ 27 -А</w:t>
      </w:r>
      <w:bookmarkEnd w:id="1"/>
    </w:p>
    <w:p w:rsidR="003D7632" w:rsidRDefault="002F6C44">
      <w:pPr>
        <w:pStyle w:val="20"/>
        <w:framePr w:wrap="none" w:vAnchor="page" w:hAnchor="page" w:x="1612" w:y="5913"/>
        <w:shd w:val="clear" w:color="auto" w:fill="auto"/>
        <w:spacing w:before="0" w:after="0" w:line="240" w:lineRule="exact"/>
        <w:ind w:left="400"/>
      </w:pPr>
      <w:r>
        <w:rPr>
          <w:rStyle w:val="21"/>
        </w:rPr>
        <w:t>17 сентября 2015 года</w:t>
      </w:r>
    </w:p>
    <w:p w:rsidR="003D7632" w:rsidRDefault="002F6C44">
      <w:pPr>
        <w:pStyle w:val="20"/>
        <w:framePr w:wrap="none" w:vAnchor="page" w:hAnchor="page" w:x="10190" w:y="5927"/>
        <w:shd w:val="clear" w:color="auto" w:fill="auto"/>
        <w:spacing w:before="0" w:after="0" w:line="240" w:lineRule="exact"/>
      </w:pP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.А</w:t>
      </w:r>
      <w:proofErr w:type="gramEnd"/>
      <w:r>
        <w:rPr>
          <w:rStyle w:val="21"/>
        </w:rPr>
        <w:t>ндреевка</w:t>
      </w:r>
      <w:proofErr w:type="spellEnd"/>
    </w:p>
    <w:p w:rsidR="003D7632" w:rsidRDefault="002F6C44">
      <w:pPr>
        <w:pStyle w:val="40"/>
        <w:framePr w:w="9437" w:h="2271" w:hRule="exact" w:wrap="none" w:vAnchor="page" w:hAnchor="page" w:x="1612" w:y="6725"/>
        <w:shd w:val="clear" w:color="auto" w:fill="auto"/>
        <w:spacing w:before="0" w:after="0"/>
        <w:ind w:left="400" w:right="4280"/>
      </w:pPr>
      <w:r>
        <w:t xml:space="preserve">Об утверждении порядка определения платы за оказание внутригородским муниципальным образованием города Севастополя Андреевский муниципальный </w:t>
      </w:r>
      <w:r>
        <w:t>округ услуг (выполнение работ), относящихся к основным видам деятельности ВМО Андреевский МО, для граждан и юридических лиц</w:t>
      </w:r>
    </w:p>
    <w:p w:rsidR="003D7632" w:rsidRDefault="002F6C44" w:rsidP="00843458">
      <w:pPr>
        <w:pStyle w:val="20"/>
        <w:framePr w:w="9646" w:h="6886" w:hRule="exact" w:wrap="none" w:vAnchor="page" w:hAnchor="page" w:x="1612" w:y="9495"/>
        <w:shd w:val="clear" w:color="auto" w:fill="auto"/>
        <w:spacing w:before="0" w:after="267" w:line="274" w:lineRule="exact"/>
        <w:ind w:firstLine="1340"/>
        <w:jc w:val="both"/>
      </w:pPr>
      <w:r>
        <w:t>В соответствии с и.4 статьи 9.2. Федерального Закона от 12.01.1996 № 7-ФЗ «О</w:t>
      </w:r>
      <w:r>
        <w:br/>
        <w:t xml:space="preserve">некоммерческих организациях», Законом города </w:t>
      </w:r>
      <w:r>
        <w:t>Севастополя от 30.12.2014 № 102 «О</w:t>
      </w:r>
      <w:r>
        <w:br/>
        <w:t>местном муниципального округа г. Севастополя, Уставом внутригородского</w:t>
      </w:r>
      <w:r>
        <w:br/>
        <w:t>муниципального образования города Севастополя Андреевский муниципальный округ,</w:t>
      </w:r>
      <w:r>
        <w:br/>
        <w:t>местная администрация Андреевского муниципального округа</w:t>
      </w:r>
    </w:p>
    <w:p w:rsidR="003D7632" w:rsidRDefault="002F6C44" w:rsidP="00843458">
      <w:pPr>
        <w:pStyle w:val="20"/>
        <w:framePr w:w="9646" w:h="6886" w:hRule="exact" w:wrap="none" w:vAnchor="page" w:hAnchor="page" w:x="1612" w:y="9495"/>
        <w:shd w:val="clear" w:color="auto" w:fill="auto"/>
        <w:spacing w:before="0" w:after="266" w:line="240" w:lineRule="exact"/>
        <w:ind w:left="3520"/>
      </w:pPr>
      <w:r>
        <w:t>ПОСТАНОВЛЯЕТ</w:t>
      </w:r>
    </w:p>
    <w:p w:rsidR="003D7632" w:rsidRDefault="002F6C44" w:rsidP="00843458">
      <w:pPr>
        <w:pStyle w:val="20"/>
        <w:framePr w:w="9646" w:h="6886" w:hRule="exact" w:wrap="none" w:vAnchor="page" w:hAnchor="page" w:x="1612" w:y="9495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4" w:lineRule="exact"/>
        <w:ind w:firstLine="720"/>
        <w:jc w:val="both"/>
      </w:pPr>
      <w:r>
        <w:t>У</w:t>
      </w:r>
      <w:r>
        <w:t>твердить «Порядок определения платы за оказание внутригородским</w:t>
      </w:r>
      <w:r>
        <w:br/>
        <w:t>муниципальным образованием города Севастополя Андреевский муниципальный округ</w:t>
      </w:r>
      <w:r>
        <w:br/>
        <w:t>услуг (выполнение работ), относящихся к основным видам деятельности ВМО</w:t>
      </w:r>
      <w:r>
        <w:br/>
        <w:t xml:space="preserve">Андреевский МО, для граждан и юридических </w:t>
      </w:r>
      <w:r>
        <w:t>лиц» (прилагается).</w:t>
      </w:r>
    </w:p>
    <w:p w:rsidR="003D7632" w:rsidRDefault="002F6C44" w:rsidP="00843458">
      <w:pPr>
        <w:pStyle w:val="20"/>
        <w:framePr w:w="9646" w:h="6886" w:hRule="exact" w:wrap="none" w:vAnchor="page" w:hAnchor="page" w:x="1612" w:y="9495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317" w:lineRule="exact"/>
        <w:ind w:firstLine="720"/>
        <w:jc w:val="both"/>
      </w:pPr>
      <w:r>
        <w:t>Настоящее постановление подлежит обнародованию на информационном стенде,</w:t>
      </w:r>
      <w:r>
        <w:br/>
        <w:t xml:space="preserve">расположенном по адресу: 299813, </w:t>
      </w:r>
      <w:proofErr w:type="spellStart"/>
      <w:r>
        <w:t>г</w:t>
      </w:r>
      <w:proofErr w:type="gramStart"/>
      <w:r>
        <w:t>.С</w:t>
      </w:r>
      <w:proofErr w:type="gramEnd"/>
      <w:r>
        <w:t>евастополь</w:t>
      </w:r>
      <w:proofErr w:type="spellEnd"/>
      <w:r>
        <w:t>, с. Андреевка, ул. Центральная,22.</w:t>
      </w:r>
    </w:p>
    <w:p w:rsidR="003D7632" w:rsidRPr="00843458" w:rsidRDefault="002F6C44" w:rsidP="00843458">
      <w:pPr>
        <w:pStyle w:val="20"/>
        <w:framePr w:w="9646" w:h="6886" w:hRule="exact" w:wrap="none" w:vAnchor="page" w:hAnchor="page" w:x="1612" w:y="9495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74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Положения возложить на Главу</w:t>
      </w:r>
      <w:r>
        <w:br/>
        <w:t>местной администр</w:t>
      </w:r>
      <w:r>
        <w:t xml:space="preserve">ации Андреевского муниципального округа </w:t>
      </w:r>
      <w:proofErr w:type="spellStart"/>
      <w:r>
        <w:t>Валуева</w:t>
      </w:r>
      <w:proofErr w:type="spellEnd"/>
      <w:r>
        <w:t xml:space="preserve"> И.Н.</w:t>
      </w:r>
      <w:r w:rsidRPr="00843458">
        <w:rPr>
          <w:i/>
        </w:rPr>
        <w:t>.</w:t>
      </w:r>
    </w:p>
    <w:p w:rsidR="00843458" w:rsidRDefault="00843458" w:rsidP="00843458">
      <w:pPr>
        <w:pStyle w:val="20"/>
        <w:framePr w:w="9646" w:h="6886" w:hRule="exact" w:wrap="none" w:vAnchor="page" w:hAnchor="page" w:x="1612" w:y="9495"/>
        <w:shd w:val="clear" w:color="auto" w:fill="auto"/>
        <w:tabs>
          <w:tab w:val="left" w:pos="1416"/>
        </w:tabs>
        <w:spacing w:before="0" w:after="0" w:line="274" w:lineRule="exact"/>
        <w:jc w:val="both"/>
      </w:pPr>
    </w:p>
    <w:p w:rsidR="00843458" w:rsidRPr="00843458" w:rsidRDefault="00843458" w:rsidP="00843458">
      <w:pPr>
        <w:pStyle w:val="20"/>
        <w:framePr w:w="9646" w:h="6886" w:hRule="exact" w:wrap="none" w:vAnchor="page" w:hAnchor="page" w:x="1612" w:y="9495"/>
        <w:shd w:val="clear" w:color="auto" w:fill="auto"/>
        <w:tabs>
          <w:tab w:val="left" w:pos="1416"/>
        </w:tabs>
        <w:spacing w:before="0" w:after="0" w:line="274" w:lineRule="exact"/>
        <w:jc w:val="both"/>
      </w:pPr>
    </w:p>
    <w:p w:rsidR="003D7632" w:rsidRDefault="00843458" w:rsidP="00843458">
      <w:pPr>
        <w:pStyle w:val="20"/>
        <w:framePr w:w="9781" w:h="2101" w:hRule="exact" w:wrap="none" w:vAnchor="page" w:hAnchor="page" w:x="1546" w:y="14058"/>
        <w:shd w:val="clear" w:color="auto" w:fill="auto"/>
        <w:spacing w:before="0" w:after="0" w:line="240" w:lineRule="exact"/>
      </w:pPr>
      <w:r>
        <w:t xml:space="preserve">              5.</w:t>
      </w:r>
      <w:r w:rsidR="002F6C44">
        <w:t>Постановление вступает в силу с момента подписания</w:t>
      </w:r>
      <w:r>
        <w:t>.</w:t>
      </w:r>
    </w:p>
    <w:p w:rsidR="00843458" w:rsidRDefault="00843458" w:rsidP="00843458">
      <w:pPr>
        <w:pStyle w:val="20"/>
        <w:framePr w:w="9781" w:h="2101" w:hRule="exact" w:wrap="none" w:vAnchor="page" w:hAnchor="page" w:x="1546" w:y="14058"/>
        <w:shd w:val="clear" w:color="auto" w:fill="auto"/>
        <w:spacing w:before="0" w:after="0" w:line="240" w:lineRule="exact"/>
      </w:pPr>
    </w:p>
    <w:p w:rsidR="00843458" w:rsidRDefault="00843458" w:rsidP="00843458">
      <w:pPr>
        <w:pStyle w:val="20"/>
        <w:framePr w:w="9781" w:h="2101" w:hRule="exact" w:wrap="none" w:vAnchor="page" w:hAnchor="page" w:x="1546" w:y="14058"/>
        <w:shd w:val="clear" w:color="auto" w:fill="auto"/>
        <w:spacing w:before="0" w:after="0" w:line="240" w:lineRule="exact"/>
      </w:pPr>
    </w:p>
    <w:p w:rsidR="00843458" w:rsidRDefault="00843458" w:rsidP="00843458">
      <w:pPr>
        <w:pStyle w:val="20"/>
        <w:framePr w:w="9781" w:h="2101" w:hRule="exact" w:wrap="none" w:vAnchor="page" w:hAnchor="page" w:x="1546" w:y="14058"/>
        <w:shd w:val="clear" w:color="auto" w:fill="auto"/>
        <w:spacing w:before="0" w:after="0" w:line="240" w:lineRule="exact"/>
      </w:pPr>
      <w:r>
        <w:t>Глава местной администрации</w:t>
      </w:r>
    </w:p>
    <w:p w:rsidR="00843458" w:rsidRDefault="00843458" w:rsidP="00843458">
      <w:pPr>
        <w:pStyle w:val="20"/>
        <w:framePr w:w="9781" w:h="2101" w:hRule="exact" w:wrap="none" w:vAnchor="page" w:hAnchor="page" w:x="1546" w:y="14058"/>
        <w:shd w:val="clear" w:color="auto" w:fill="auto"/>
        <w:spacing w:before="0" w:after="0" w:line="240" w:lineRule="exact"/>
      </w:pPr>
      <w:r>
        <w:t xml:space="preserve">Андреевского муниципального округа                                                         </w:t>
      </w:r>
      <w:proofErr w:type="spellStart"/>
      <w:r>
        <w:t>И.Н.Валуев</w:t>
      </w:r>
      <w:proofErr w:type="spellEnd"/>
      <w:r>
        <w:t xml:space="preserve">                      </w:t>
      </w:r>
    </w:p>
    <w:p w:rsidR="003D7632" w:rsidRDefault="003D7632">
      <w:pPr>
        <w:framePr w:wrap="none" w:vAnchor="page" w:hAnchor="page" w:x="5625" w:y="14325"/>
      </w:pPr>
    </w:p>
    <w:p w:rsidR="003D7632" w:rsidRDefault="002F6C44" w:rsidP="00843458">
      <w:pPr>
        <w:pStyle w:val="a7"/>
        <w:shd w:val="clear" w:color="auto" w:fill="auto"/>
        <w:spacing w:line="240" w:lineRule="exact"/>
      </w:pPr>
      <w:r>
        <w:t>.Валуев</w:t>
      </w:r>
    </w:p>
    <w:p w:rsidR="003D7632" w:rsidRDefault="003D7632">
      <w:pPr>
        <w:rPr>
          <w:sz w:val="2"/>
          <w:szCs w:val="2"/>
        </w:rPr>
        <w:sectPr w:rsidR="003D76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632" w:rsidRDefault="00843458" w:rsidP="00843458">
      <w:pPr>
        <w:pStyle w:val="20"/>
        <w:framePr w:w="9446" w:h="1440" w:hRule="exact" w:wrap="none" w:vAnchor="page" w:hAnchor="page" w:x="1628" w:y="1970"/>
        <w:shd w:val="clear" w:color="auto" w:fill="auto"/>
        <w:spacing w:before="0" w:after="0" w:line="274" w:lineRule="exact"/>
        <w:jc w:val="center"/>
      </w:pPr>
      <w:r>
        <w:lastRenderedPageBreak/>
        <w:t xml:space="preserve">                                                                                     </w:t>
      </w:r>
      <w:r w:rsidR="002F6C44">
        <w:t>УТВЕРЖЕН</w:t>
      </w:r>
    </w:p>
    <w:p w:rsidR="003D7632" w:rsidRDefault="002F6C44">
      <w:pPr>
        <w:pStyle w:val="20"/>
        <w:framePr w:w="9446" w:h="1440" w:hRule="exact" w:wrap="none" w:vAnchor="page" w:hAnchor="page" w:x="1628" w:y="1970"/>
        <w:shd w:val="clear" w:color="auto" w:fill="auto"/>
        <w:spacing w:before="0" w:after="0" w:line="274" w:lineRule="exact"/>
        <w:ind w:left="5080"/>
        <w:jc w:val="right"/>
      </w:pPr>
      <w:r>
        <w:t>Постановлением местной администрации</w:t>
      </w:r>
      <w:r>
        <w:t xml:space="preserve"> Андреевского муниципального округа от 17 сентября 2015 года № 27-А</w:t>
      </w:r>
    </w:p>
    <w:p w:rsidR="003D7632" w:rsidRDefault="002F6C44">
      <w:pPr>
        <w:pStyle w:val="40"/>
        <w:framePr w:w="9446" w:h="11349" w:hRule="exact" w:wrap="none" w:vAnchor="page" w:hAnchor="page" w:x="1628" w:y="4493"/>
        <w:shd w:val="clear" w:color="auto" w:fill="auto"/>
        <w:spacing w:before="0" w:after="0" w:line="240" w:lineRule="exact"/>
        <w:jc w:val="center"/>
      </w:pPr>
      <w:r>
        <w:t>ПОРЯДОК</w:t>
      </w:r>
    </w:p>
    <w:p w:rsidR="003D7632" w:rsidRDefault="002F6C44">
      <w:pPr>
        <w:pStyle w:val="40"/>
        <w:framePr w:w="9446" w:h="11349" w:hRule="exact" w:wrap="none" w:vAnchor="page" w:hAnchor="page" w:x="1628" w:y="4493"/>
        <w:shd w:val="clear" w:color="auto" w:fill="auto"/>
        <w:spacing w:before="0" w:after="240"/>
        <w:jc w:val="center"/>
      </w:pPr>
      <w:r>
        <w:t>ОПРЕДЕЛЕНИЯ ПЛАТЫ ЗА ОКАЗАНИЕ ВНУТРИГОРОДСКИМ</w:t>
      </w:r>
      <w:r>
        <w:br/>
        <w:t>МУНИЦИПАЛЬНЫМ ОБРАЗОВАНИЕМ ГОРОДА СЕВАСТОПОЛЯ</w:t>
      </w:r>
      <w:r>
        <w:br/>
        <w:t>АНДРЕЕВСКИЙ МУНИЦИПАЛЬНЫЙ ОКРУГ УСЛУГ (ВЫПОЛНЕНИЕ</w:t>
      </w:r>
      <w:r>
        <w:br/>
        <w:t>РАБОТ), ОТНОСЯЩИХСЯ К ОСНОВНЫМ ВИДАМ Д</w:t>
      </w:r>
      <w:r>
        <w:t>ЕЯТЕЛЬНОСТИ ВМО</w:t>
      </w:r>
      <w:r>
        <w:br/>
        <w:t>АНДРЕЕВСКИЙ МО, ДЛЯ ГРАЖДАН И ЮРИДИЧЕСКИХ ЛИЦ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74" w:lineRule="exact"/>
        <w:ind w:firstLine="680"/>
        <w:jc w:val="both"/>
      </w:pPr>
      <w:r>
        <w:t>Настоящий Порядок определения платы за оказание внутригородским муниципальным образованием города Севастополя Андреевский муниципальный округ услуг (выполнение работ), относящихся к основным вид</w:t>
      </w:r>
      <w:r>
        <w:t>ам деятельности ВМО Андреевский МО, для граждан и юридических лиц разработан на основании п.4 статьи 9.2. Федерального Закона Российской Федерации от 12.01.1996№ 7-ФЗ «О некоммерческих организациях».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74" w:lineRule="exact"/>
        <w:ind w:firstLine="680"/>
        <w:jc w:val="both"/>
      </w:pPr>
      <w:r>
        <w:t>Порядок распространяется на государственные (муниципальн</w:t>
      </w:r>
      <w:r>
        <w:t>ые) бюджетные учреждения (далее - учреждения), в отношении которых внутригородское муниципальное образование города Севастополя Андреевский муниципальный округ осуществляет функции и полномочия учредителя (далее - учредитель).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274" w:lineRule="exact"/>
        <w:ind w:firstLine="560"/>
        <w:jc w:val="both"/>
      </w:pPr>
      <w:r>
        <w:t>Учреждение самостоятельно опр</w:t>
      </w:r>
      <w:r>
        <w:t>еделяет возможность и объем оказания платных услуг (работ) исходя из наличия материальных и трудовых ресурсов, спроса на соответствующие услуги (работы) и иных факторов, формирует перечень оказываемых им платных услуг (работ) по основным видам деятельности</w:t>
      </w:r>
      <w:r>
        <w:t>.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74" w:lineRule="exact"/>
        <w:ind w:firstLine="560"/>
        <w:jc w:val="both"/>
      </w:pPr>
      <w:r>
        <w:t>Размер платы за платные услуги (работы) определяется на основании: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 xml:space="preserve">установленных нормативными правовыми актами Российской Федерации, нормативными правовыми актами Правительства Севастополя, правовыми актами внутригородского муниципального образования </w:t>
      </w:r>
      <w:r>
        <w:t>города Севастополя Андреевский муниципальный округ цен (тарифов) на соответствующие платные услуги (работы) по внутригородскому муниципальному образованию города Севастополя Андреевский муниципальный округ основным видам деятельности учреждения (при наличи</w:t>
      </w:r>
      <w:r>
        <w:t>и);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>размера нормативных затрат на оказание учреждением платных услуг (работ) по основным видам деятельности, а также размера нормативных затрат на содержание имущества учреждения с учетом: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>анализа фактических затрат учреждения на оказание платных услуг (ра</w:t>
      </w:r>
      <w:r>
        <w:t>бот) по основным видам деятельности в предшествующие периоды;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>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</w:t>
      </w:r>
      <w:r>
        <w:t>ены (тарифы) на товары, работы, услуги субъектов естественных монополий;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3D7632" w:rsidRDefault="002F6C44">
      <w:pPr>
        <w:pStyle w:val="20"/>
        <w:framePr w:w="9446" w:h="11349" w:hRule="exact" w:wrap="none" w:vAnchor="page" w:hAnchor="page" w:x="1628" w:y="4493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74" w:lineRule="exact"/>
        <w:ind w:firstLine="560"/>
        <w:jc w:val="both"/>
      </w:pPr>
      <w:r>
        <w:t>анализа существующего и прогнозируемого объема спроса</w:t>
      </w:r>
      <w:r>
        <w:t xml:space="preserve"> на аналогичные услуги (работы).</w:t>
      </w:r>
    </w:p>
    <w:p w:rsidR="003D7632" w:rsidRDefault="003D7632">
      <w:pPr>
        <w:rPr>
          <w:sz w:val="2"/>
          <w:szCs w:val="2"/>
        </w:rPr>
        <w:sectPr w:rsidR="003D76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632" w:rsidRDefault="002F6C44">
      <w:pPr>
        <w:pStyle w:val="20"/>
        <w:framePr w:w="9638" w:h="4210" w:hRule="exact" w:wrap="none" w:vAnchor="page" w:hAnchor="page" w:x="1660" w:y="1741"/>
        <w:numPr>
          <w:ilvl w:val="0"/>
          <w:numId w:val="5"/>
        </w:numPr>
        <w:shd w:val="clear" w:color="auto" w:fill="auto"/>
        <w:tabs>
          <w:tab w:val="left" w:pos="833"/>
        </w:tabs>
        <w:spacing w:before="0" w:after="0" w:line="274" w:lineRule="exact"/>
        <w:ind w:right="240" w:firstLine="580"/>
        <w:jc w:val="both"/>
      </w:pPr>
      <w:r>
        <w:t>Определение состава затрат, применяемых для расчета платы за услугу (работу) и оценки ее обоснованности, производится в соответствии с Налоговым кодексом Российской Федерации.</w:t>
      </w:r>
    </w:p>
    <w:p w:rsidR="003D7632" w:rsidRDefault="002F6C44">
      <w:pPr>
        <w:pStyle w:val="20"/>
        <w:framePr w:w="9638" w:h="4210" w:hRule="exact" w:wrap="none" w:vAnchor="page" w:hAnchor="page" w:x="1660" w:y="1741"/>
        <w:numPr>
          <w:ilvl w:val="0"/>
          <w:numId w:val="5"/>
        </w:numPr>
        <w:shd w:val="clear" w:color="auto" w:fill="auto"/>
        <w:tabs>
          <w:tab w:val="left" w:pos="847"/>
        </w:tabs>
        <w:spacing w:before="0" w:after="0" w:line="274" w:lineRule="exact"/>
        <w:ind w:right="240" w:firstLine="580"/>
        <w:jc w:val="both"/>
      </w:pPr>
      <w:r>
        <w:t xml:space="preserve">Сформированный </w:t>
      </w:r>
      <w:r>
        <w:t>учреждением перечень платных услуг и размер платы за услуги (работы) утверждается учредителем, в случае если полномочия по утверждению перечня платных услуг и размера платы за услуги (работы) учредителем не переданы руководителю учреждения.</w:t>
      </w:r>
    </w:p>
    <w:p w:rsidR="003D7632" w:rsidRDefault="002F6C44">
      <w:pPr>
        <w:pStyle w:val="20"/>
        <w:framePr w:w="9638" w:h="4210" w:hRule="exact" w:wrap="none" w:vAnchor="page" w:hAnchor="page" w:x="1660" w:y="1741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0" w:line="274" w:lineRule="exact"/>
        <w:ind w:right="240" w:firstLine="580"/>
        <w:jc w:val="both"/>
      </w:pPr>
      <w:r>
        <w:t>Цены на платные</w:t>
      </w:r>
      <w:r>
        <w:t xml:space="preserve"> услуги (работы), оказываемые учреждениями физическим и юридическим лицам, могут изменяться не чаще одного раза в год.</w:t>
      </w:r>
    </w:p>
    <w:p w:rsidR="003D7632" w:rsidRDefault="002F6C44">
      <w:pPr>
        <w:pStyle w:val="20"/>
        <w:framePr w:w="9638" w:h="4210" w:hRule="exact" w:wrap="none" w:vAnchor="page" w:hAnchor="page" w:x="1660" w:y="1741"/>
        <w:shd w:val="clear" w:color="auto" w:fill="auto"/>
        <w:spacing w:before="0" w:after="0" w:line="274" w:lineRule="exact"/>
        <w:ind w:right="240" w:firstLine="580"/>
        <w:jc w:val="both"/>
      </w:pPr>
      <w:r>
        <w:t>Основанием для досрочного пересмотра цен на платные услуги являются объективные изменения условий деятельности учреждения, влияющие на ст</w:t>
      </w:r>
      <w:r>
        <w:t>оимость услуги, оказываемой за плату.</w:t>
      </w:r>
    </w:p>
    <w:p w:rsidR="003D7632" w:rsidRDefault="002F6C44">
      <w:pPr>
        <w:pStyle w:val="20"/>
        <w:framePr w:w="9638" w:h="4210" w:hRule="exact" w:wrap="none" w:vAnchor="page" w:hAnchor="page" w:x="1660" w:y="1741"/>
        <w:numPr>
          <w:ilvl w:val="0"/>
          <w:numId w:val="5"/>
        </w:numPr>
        <w:shd w:val="clear" w:color="auto" w:fill="auto"/>
        <w:tabs>
          <w:tab w:val="left" w:pos="847"/>
        </w:tabs>
        <w:spacing w:before="0" w:after="0" w:line="274" w:lineRule="exact"/>
        <w:ind w:right="240" w:firstLine="580"/>
        <w:jc w:val="both"/>
      </w:pPr>
      <w:r>
        <w:t>Учреждение,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</w:t>
      </w:r>
      <w:r>
        <w:t xml:space="preserve"> Таблице 1.</w:t>
      </w:r>
    </w:p>
    <w:p w:rsidR="003D7632" w:rsidRDefault="002F6C44">
      <w:pPr>
        <w:pStyle w:val="20"/>
        <w:framePr w:w="9638" w:h="298" w:hRule="exact" w:wrap="none" w:vAnchor="page" w:hAnchor="page" w:x="1660" w:y="6477"/>
        <w:shd w:val="clear" w:color="auto" w:fill="auto"/>
        <w:spacing w:before="0" w:after="0" w:line="240" w:lineRule="exact"/>
        <w:ind w:right="240"/>
        <w:jc w:val="right"/>
      </w:pPr>
      <w:r>
        <w:t>Таблица 1</w:t>
      </w:r>
    </w:p>
    <w:p w:rsidR="003D7632" w:rsidRDefault="002F6C44">
      <w:pPr>
        <w:pStyle w:val="20"/>
        <w:framePr w:w="9638" w:h="1167" w:hRule="exact" w:wrap="none" w:vAnchor="page" w:hAnchor="page" w:x="1660" w:y="6997"/>
        <w:shd w:val="clear" w:color="auto" w:fill="auto"/>
        <w:spacing w:before="0" w:after="0" w:line="274" w:lineRule="exact"/>
        <w:ind w:left="200"/>
        <w:jc w:val="center"/>
      </w:pPr>
      <w:r>
        <w:t>Информация</w:t>
      </w:r>
    </w:p>
    <w:p w:rsidR="003D7632" w:rsidRDefault="002F6C44">
      <w:pPr>
        <w:pStyle w:val="20"/>
        <w:framePr w:w="9638" w:h="1167" w:hRule="exact" w:wrap="none" w:vAnchor="page" w:hAnchor="page" w:x="1660" w:y="6997"/>
        <w:shd w:val="clear" w:color="auto" w:fill="auto"/>
        <w:spacing w:before="0" w:after="0" w:line="274" w:lineRule="exact"/>
        <w:ind w:left="200"/>
        <w:jc w:val="center"/>
      </w:pPr>
      <w:r>
        <w:t>о ценах на платные услуги, работы, оказываемые (выполняемые)</w:t>
      </w:r>
      <w:r>
        <w:br/>
      </w:r>
      <w:proofErr w:type="gramStart"/>
      <w:r>
        <w:t>внутригородским</w:t>
      </w:r>
      <w:proofErr w:type="gramEnd"/>
      <w:r>
        <w:t xml:space="preserve"> муниципальным образование города Севастополя Андреевский</w:t>
      </w:r>
    </w:p>
    <w:p w:rsidR="003D7632" w:rsidRDefault="002F6C44">
      <w:pPr>
        <w:pStyle w:val="20"/>
        <w:framePr w:w="9638" w:h="1167" w:hRule="exact" w:wrap="none" w:vAnchor="page" w:hAnchor="page" w:x="1660" w:y="6997"/>
        <w:shd w:val="clear" w:color="auto" w:fill="auto"/>
        <w:spacing w:before="0" w:after="0" w:line="274" w:lineRule="exact"/>
        <w:ind w:left="200"/>
        <w:jc w:val="center"/>
      </w:pPr>
      <w:r>
        <w:t>муниципальный округ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870"/>
        <w:gridCol w:w="3211"/>
      </w:tblGrid>
      <w:tr w:rsidR="003D763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632" w:rsidRDefault="002F6C44">
            <w:pPr>
              <w:pStyle w:val="20"/>
              <w:framePr w:w="9619" w:h="1454" w:wrap="none" w:vAnchor="page" w:hAnchor="page" w:x="1679" w:y="8680"/>
              <w:shd w:val="clear" w:color="auto" w:fill="auto"/>
              <w:spacing w:before="0" w:after="0" w:line="240" w:lineRule="exact"/>
              <w:jc w:val="center"/>
            </w:pPr>
            <w:r>
              <w:t>Наименование услуги (работы)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632" w:rsidRDefault="002F6C44">
            <w:pPr>
              <w:pStyle w:val="20"/>
              <w:framePr w:w="9619" w:h="1454" w:wrap="none" w:vAnchor="page" w:hAnchor="page" w:x="1679" w:y="8680"/>
              <w:shd w:val="clear" w:color="auto" w:fill="auto"/>
              <w:spacing w:before="0" w:after="0" w:line="240" w:lineRule="exact"/>
              <w:jc w:val="center"/>
            </w:pPr>
            <w:r>
              <w:t>Цена, руб.</w:t>
            </w:r>
          </w:p>
        </w:tc>
      </w:tr>
      <w:tr w:rsidR="003D7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632" w:rsidRDefault="002F6C44">
            <w:pPr>
              <w:pStyle w:val="20"/>
              <w:framePr w:w="9619" w:h="1454" w:wrap="none" w:vAnchor="page" w:hAnchor="page" w:x="1679" w:y="8680"/>
              <w:shd w:val="clear" w:color="auto" w:fill="auto"/>
              <w:spacing w:before="0" w:after="0" w:line="240" w:lineRule="exact"/>
            </w:pPr>
            <w: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</w:tr>
      <w:tr w:rsidR="003D7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632" w:rsidRDefault="002F6C44">
            <w:pPr>
              <w:pStyle w:val="20"/>
              <w:framePr w:w="9619" w:h="1454" w:wrap="none" w:vAnchor="page" w:hAnchor="page" w:x="1679" w:y="8680"/>
              <w:shd w:val="clear" w:color="auto" w:fill="auto"/>
              <w:spacing w:before="0" w:after="0" w:line="240" w:lineRule="exact"/>
            </w:pPr>
            <w: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</w:tr>
      <w:tr w:rsidR="003D76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632" w:rsidRDefault="002F6C44">
            <w:pPr>
              <w:pStyle w:val="20"/>
              <w:framePr w:w="9619" w:h="1454" w:wrap="none" w:vAnchor="page" w:hAnchor="page" w:x="1679" w:y="8680"/>
              <w:shd w:val="clear" w:color="auto" w:fill="auto"/>
              <w:spacing w:before="0" w:after="0" w:line="240" w:lineRule="exact"/>
            </w:pPr>
            <w: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</w:tr>
      <w:tr w:rsidR="003D763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2" w:rsidRDefault="003D7632">
            <w:pPr>
              <w:framePr w:w="9619" w:h="1454" w:wrap="none" w:vAnchor="page" w:hAnchor="page" w:x="1679" w:y="8680"/>
              <w:rPr>
                <w:sz w:val="10"/>
                <w:szCs w:val="10"/>
              </w:rPr>
            </w:pPr>
          </w:p>
        </w:tc>
      </w:tr>
    </w:tbl>
    <w:p w:rsidR="003D7632" w:rsidRDefault="002F6C44" w:rsidP="00843458">
      <w:pPr>
        <w:pStyle w:val="a7"/>
        <w:framePr w:w="10126" w:h="591" w:hRule="exact" w:wrap="none" w:vAnchor="page" w:hAnchor="page" w:x="1471" w:y="11496"/>
        <w:shd w:val="clear" w:color="auto" w:fill="auto"/>
        <w:spacing w:line="278" w:lineRule="exact"/>
        <w:ind w:right="163"/>
        <w:jc w:val="both"/>
      </w:pPr>
      <w:r>
        <w:t xml:space="preserve">Г </w:t>
      </w:r>
      <w:r w:rsidR="00843458">
        <w:t>лава местной администрации</w:t>
      </w:r>
    </w:p>
    <w:p w:rsidR="003D7632" w:rsidRDefault="002F6C44" w:rsidP="00843458">
      <w:pPr>
        <w:pStyle w:val="a7"/>
        <w:framePr w:w="10126" w:h="591" w:hRule="exact" w:wrap="none" w:vAnchor="page" w:hAnchor="page" w:x="1471" w:y="11496"/>
        <w:shd w:val="clear" w:color="auto" w:fill="auto"/>
        <w:spacing w:line="278" w:lineRule="exact"/>
        <w:ind w:right="160"/>
        <w:jc w:val="both"/>
      </w:pPr>
      <w:r>
        <w:t>Андреевского муниципально</w:t>
      </w:r>
      <w:r w:rsidR="00843458">
        <w:t xml:space="preserve">го округа                                                                  </w:t>
      </w:r>
      <w:bookmarkStart w:id="2" w:name="_GoBack"/>
      <w:bookmarkEnd w:id="2"/>
      <w:r w:rsidR="00843458">
        <w:t xml:space="preserve">  И. Н. Валуев</w:t>
      </w:r>
    </w:p>
    <w:p w:rsidR="003D7632" w:rsidRDefault="003D7632">
      <w:pPr>
        <w:rPr>
          <w:sz w:val="2"/>
          <w:szCs w:val="2"/>
        </w:rPr>
      </w:pPr>
    </w:p>
    <w:sectPr w:rsidR="003D76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44" w:rsidRDefault="002F6C44">
      <w:r>
        <w:separator/>
      </w:r>
    </w:p>
  </w:endnote>
  <w:endnote w:type="continuationSeparator" w:id="0">
    <w:p w:rsidR="002F6C44" w:rsidRDefault="002F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44" w:rsidRDefault="002F6C44"/>
  </w:footnote>
  <w:footnote w:type="continuationSeparator" w:id="0">
    <w:p w:rsidR="002F6C44" w:rsidRDefault="002F6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352"/>
    <w:multiLevelType w:val="multilevel"/>
    <w:tmpl w:val="7584E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F1878"/>
    <w:multiLevelType w:val="multilevel"/>
    <w:tmpl w:val="ECF28B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D6CB3"/>
    <w:multiLevelType w:val="multilevel"/>
    <w:tmpl w:val="AE522F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12ACF"/>
    <w:multiLevelType w:val="multilevel"/>
    <w:tmpl w:val="1B167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86141"/>
    <w:multiLevelType w:val="multilevel"/>
    <w:tmpl w:val="69D45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7632"/>
    <w:rsid w:val="002F6C44"/>
    <w:rsid w:val="003D7632"/>
    <w:rsid w:val="008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2016-07-19T10:44:00Z</dcterms:created>
  <dcterms:modified xsi:type="dcterms:W3CDTF">2016-07-19T10:49:00Z</dcterms:modified>
</cp:coreProperties>
</file>