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>МЕСТНАЯ АДМИНИСТРАЦИЯ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 </w:t>
      </w:r>
      <w:proofErr w:type="gramStart"/>
      <w:r w:rsidRPr="00097C5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097C5F">
        <w:rPr>
          <w:rFonts w:ascii="Times New Roman" w:hAnsi="Times New Roman" w:cs="Times New Roman"/>
          <w:b/>
        </w:rPr>
        <w:t xml:space="preserve"> ОКРУГА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097C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7C5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B0748" w:rsidRPr="00097C5F">
        <w:rPr>
          <w:rFonts w:ascii="Times New Roman" w:hAnsi="Times New Roman" w:cs="Times New Roman"/>
          <w:b/>
          <w:sz w:val="32"/>
          <w:szCs w:val="32"/>
        </w:rPr>
        <w:t>10</w:t>
      </w:r>
      <w:r w:rsidRPr="00097C5F">
        <w:rPr>
          <w:rFonts w:ascii="Times New Roman" w:hAnsi="Times New Roman" w:cs="Times New Roman"/>
          <w:b/>
          <w:sz w:val="32"/>
          <w:szCs w:val="32"/>
        </w:rPr>
        <w:t>-</w:t>
      </w:r>
      <w:r w:rsidR="00097C5F">
        <w:rPr>
          <w:rFonts w:ascii="Times New Roman" w:hAnsi="Times New Roman" w:cs="Times New Roman"/>
          <w:b/>
          <w:sz w:val="32"/>
          <w:szCs w:val="32"/>
        </w:rPr>
        <w:t>А</w:t>
      </w:r>
    </w:p>
    <w:p w:rsidR="00552D21" w:rsidRPr="00552D21" w:rsidRDefault="00552D21" w:rsidP="00552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552D21" w:rsidRPr="00552D21" w:rsidTr="00552D21">
        <w:tc>
          <w:tcPr>
            <w:tcW w:w="4785" w:type="dxa"/>
            <w:hideMark/>
          </w:tcPr>
          <w:p w:rsidR="00552D21" w:rsidRPr="00552D21" w:rsidRDefault="00552D21" w:rsidP="00552D21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01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сентября </w:t>
            </w: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2015</w:t>
            </w:r>
            <w:proofErr w:type="gramEnd"/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52D21" w:rsidRPr="00552D21" w:rsidRDefault="00552D21" w:rsidP="00552D21">
            <w:pPr>
              <w:suppressLineNumbers/>
              <w:suppressAutoHyphens/>
              <w:jc w:val="righ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Андреевка</w:t>
            </w:r>
          </w:p>
        </w:tc>
      </w:tr>
    </w:tbl>
    <w:p w:rsidR="00552D21" w:rsidRPr="00552D21" w:rsidRDefault="00552D21" w:rsidP="00552D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52D21" w:rsidRPr="006436CE" w:rsidRDefault="00552D21" w:rsidP="00552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расходования средств иных </w:t>
      </w:r>
    </w:p>
    <w:p w:rsidR="00552D21" w:rsidRPr="006436CE" w:rsidRDefault="00552D21" w:rsidP="00552D21">
      <w:pPr>
        <w:rPr>
          <w:rFonts w:ascii="Times New Roman" w:hAnsi="Times New Roman" w:cs="Times New Roman"/>
          <w:b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>межбюджетных трансфертов, передаваемых бюджетам</w:t>
      </w:r>
    </w:p>
    <w:p w:rsidR="00552D21" w:rsidRPr="006436CE" w:rsidRDefault="00552D21" w:rsidP="00552D21">
      <w:pPr>
        <w:rPr>
          <w:rFonts w:ascii="Times New Roman" w:hAnsi="Times New Roman" w:cs="Times New Roman"/>
          <w:b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 внутригородских муниципальных образований городов </w:t>
      </w:r>
    </w:p>
    <w:p w:rsidR="00552D21" w:rsidRPr="006436CE" w:rsidRDefault="00552D21" w:rsidP="00552D21">
      <w:pPr>
        <w:rPr>
          <w:rFonts w:ascii="Times New Roman" w:hAnsi="Times New Roman" w:cs="Times New Roman"/>
          <w:b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на финансовое обеспечение </w:t>
      </w:r>
    </w:p>
    <w:p w:rsidR="00C355A6" w:rsidRDefault="00C355A6" w:rsidP="00552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спортивно-культурных мероприятий</w:t>
      </w:r>
    </w:p>
    <w:p w:rsidR="00552D21" w:rsidRPr="006436CE" w:rsidRDefault="00C355A6" w:rsidP="00552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городе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Севастополе</w:t>
      </w:r>
      <w:r w:rsidR="00552D21" w:rsidRPr="006436CE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552D21" w:rsidRPr="006436CE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</w:p>
    <w:p w:rsidR="00552D21" w:rsidRPr="006436CE" w:rsidRDefault="00552D21" w:rsidP="00552D21">
      <w:pPr>
        <w:rPr>
          <w:rFonts w:ascii="Times New Roman" w:hAnsi="Times New Roman" w:cs="Times New Roman"/>
          <w:b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 во внутригородском муниципальном образовании</w:t>
      </w:r>
    </w:p>
    <w:p w:rsidR="00552D21" w:rsidRPr="006436CE" w:rsidRDefault="00552D21" w:rsidP="00552D21">
      <w:pPr>
        <w:rPr>
          <w:rFonts w:ascii="Times New Roman" w:hAnsi="Times New Roman" w:cs="Times New Roman"/>
          <w:b/>
          <w:sz w:val="28"/>
          <w:szCs w:val="28"/>
        </w:rPr>
      </w:pPr>
      <w:r w:rsidRPr="006436CE">
        <w:rPr>
          <w:rFonts w:ascii="Times New Roman" w:hAnsi="Times New Roman" w:cs="Times New Roman"/>
          <w:b/>
          <w:sz w:val="28"/>
          <w:szCs w:val="28"/>
        </w:rPr>
        <w:t xml:space="preserve"> города Севастополя Андреевский муниципальный округ</w:t>
      </w:r>
    </w:p>
    <w:p w:rsidR="00552D21" w:rsidRPr="00552D21" w:rsidRDefault="00552D21" w:rsidP="00552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21" w:rsidRPr="00552D21" w:rsidRDefault="00552D21" w:rsidP="00552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2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г. Севастополя от 30.12.2014г «О местном самоуправлении в городе Севастополе», Уставом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муниципальный округ, решениями Совета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</w:rPr>
        <w:t>Андреевский  муниципальный</w:t>
      </w:r>
      <w:r w:rsidRPr="00552D21">
        <w:rPr>
          <w:rFonts w:ascii="Times New Roman" w:hAnsi="Times New Roman" w:cs="Times New Roman"/>
          <w:sz w:val="28"/>
          <w:szCs w:val="28"/>
        </w:rPr>
        <w:t xml:space="preserve"> округ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552D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2D21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2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52D21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2D21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D21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Андреевского  муниципального  округа</w:t>
      </w:r>
      <w:r w:rsidRPr="00552D21">
        <w:rPr>
          <w:rFonts w:ascii="Times New Roman" w:hAnsi="Times New Roman" w:cs="Times New Roman"/>
          <w:sz w:val="28"/>
          <w:szCs w:val="28"/>
        </w:rPr>
        <w:t xml:space="preserve"> на 2015 год»,  руководствуясь Постановлением Правительства Севастополя от 26.06.2015г № 568-ПП «О распределении иных межбюджетных трансфертов предоставляемых в 2015 году бюджетам </w:t>
      </w:r>
      <w:r w:rsidRPr="00552D21">
        <w:rPr>
          <w:rFonts w:ascii="Times New Roman" w:hAnsi="Times New Roman" w:cs="Times New Roman"/>
          <w:sz w:val="28"/>
          <w:szCs w:val="28"/>
        </w:rPr>
        <w:lastRenderedPageBreak/>
        <w:t xml:space="preserve">внутригородских муниципальных образований города Севастополя», с целью обеспечения расходов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 w:rsidR="00C355A6">
        <w:rPr>
          <w:rFonts w:ascii="Times New Roman" w:hAnsi="Times New Roman" w:cs="Times New Roman"/>
          <w:sz w:val="28"/>
          <w:szCs w:val="28"/>
        </w:rPr>
        <w:t>на проведение спортивно-культурных мероприятий  города  Севастополя в 2015 году,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местная администрация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552D21" w:rsidRPr="00552D21" w:rsidRDefault="006436CE" w:rsidP="00552D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52D21" w:rsidRPr="00552D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2D21" w:rsidRPr="00552D21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52D21">
        <w:rPr>
          <w:rFonts w:ascii="Times New Roman" w:hAnsi="Times New Roman" w:cs="Times New Roman"/>
          <w:sz w:val="28"/>
          <w:szCs w:val="28"/>
        </w:rPr>
        <w:t xml:space="preserve">Утвердить Порядок расходования средств иных межбюджетных трансфертов, передаваемых бюджетам внутригородских муниципальных образований городов федерального значения на финансовое обеспечение </w:t>
      </w:r>
      <w:r w:rsidR="00956A2D">
        <w:rPr>
          <w:rFonts w:ascii="Times New Roman" w:hAnsi="Times New Roman" w:cs="Times New Roman"/>
          <w:sz w:val="28"/>
          <w:szCs w:val="28"/>
        </w:rPr>
        <w:t>проведения спортивно-культурных мероприятий</w:t>
      </w:r>
      <w:r w:rsidRPr="00552D21">
        <w:rPr>
          <w:rFonts w:ascii="Times New Roman" w:hAnsi="Times New Roman" w:cs="Times New Roman"/>
          <w:sz w:val="28"/>
          <w:szCs w:val="28"/>
        </w:rPr>
        <w:t xml:space="preserve"> на 2015 год во внутригородском муниципальном образовании города Севастополя </w:t>
      </w:r>
      <w:proofErr w:type="gramStart"/>
      <w:r w:rsidR="006436CE"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Pr="00552D21">
        <w:rPr>
          <w:rFonts w:ascii="Times New Roman" w:hAnsi="Times New Roman" w:cs="Times New Roman"/>
          <w:sz w:val="28"/>
          <w:szCs w:val="28"/>
        </w:rPr>
        <w:t xml:space="preserve"> округ (далее – Порядок расходования) согласно ПРИЛОЖЕНИЮ 1.</w:t>
      </w:r>
    </w:p>
    <w:p w:rsidR="00552D21" w:rsidRPr="00552D21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21">
        <w:rPr>
          <w:rFonts w:ascii="Times New Roman" w:hAnsi="Times New Roman" w:cs="Times New Roman"/>
          <w:sz w:val="28"/>
          <w:szCs w:val="28"/>
        </w:rPr>
        <w:t xml:space="preserve">Определить местную администрацию </w:t>
      </w:r>
      <w:r w:rsidR="006436CE">
        <w:rPr>
          <w:rFonts w:ascii="Times New Roman" w:hAnsi="Times New Roman" w:cs="Times New Roman"/>
          <w:sz w:val="28"/>
          <w:szCs w:val="28"/>
        </w:rPr>
        <w:t>Андреевского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местная администрация) главным администратором доходов и главным распорядителем средств бюджета внутригородского муниципального образования города Севастополя </w:t>
      </w:r>
      <w:r w:rsidR="006436CE">
        <w:rPr>
          <w:rFonts w:ascii="Times New Roman" w:hAnsi="Times New Roman" w:cs="Times New Roman"/>
          <w:sz w:val="28"/>
          <w:szCs w:val="28"/>
        </w:rPr>
        <w:t>Андреевский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муниципальный округ, источником которых является иной межбюджетный трансферт, передаваемый бюджетам внутригородских муниципальных образований городов федерального значения на финансовое обеспечение внутригородских муниципальных образований </w:t>
      </w:r>
      <w:r w:rsidR="002F53A2">
        <w:rPr>
          <w:rFonts w:ascii="Times New Roman" w:hAnsi="Times New Roman" w:cs="Times New Roman"/>
          <w:sz w:val="28"/>
          <w:szCs w:val="28"/>
        </w:rPr>
        <w:t>на проведение спортивно-культурных мероприятий в городе Севастополе на 2015 год  во внутригородском муниципальном образовании города Севастополя  Андреевский муниципальный округ</w:t>
      </w:r>
      <w:r w:rsidRPr="00552D21">
        <w:rPr>
          <w:rFonts w:ascii="Times New Roman" w:hAnsi="Times New Roman" w:cs="Times New Roman"/>
          <w:sz w:val="28"/>
          <w:szCs w:val="28"/>
        </w:rPr>
        <w:t xml:space="preserve"> (далее – межбюджетный трансферт), в сумме </w:t>
      </w:r>
      <w:r w:rsidR="002F53A2">
        <w:rPr>
          <w:rFonts w:ascii="Times New Roman" w:hAnsi="Times New Roman" w:cs="Times New Roman"/>
          <w:sz w:val="28"/>
          <w:szCs w:val="28"/>
        </w:rPr>
        <w:t>30300</w:t>
      </w:r>
      <w:r w:rsidRPr="00552D21">
        <w:rPr>
          <w:rFonts w:ascii="Times New Roman" w:hAnsi="Times New Roman" w:cs="Times New Roman"/>
          <w:sz w:val="28"/>
          <w:szCs w:val="28"/>
        </w:rPr>
        <w:t xml:space="preserve"> рублей 00 копеек (</w:t>
      </w:r>
      <w:r w:rsidR="002F53A2">
        <w:rPr>
          <w:rFonts w:ascii="Times New Roman" w:hAnsi="Times New Roman" w:cs="Times New Roman"/>
          <w:sz w:val="28"/>
          <w:szCs w:val="28"/>
        </w:rPr>
        <w:t>тридцать тысяч триста</w:t>
      </w:r>
      <w:r w:rsidRPr="00552D21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552D21" w:rsidRPr="00552D21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21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местной администрации </w:t>
      </w:r>
      <w:r w:rsidR="00AD231A">
        <w:rPr>
          <w:rFonts w:ascii="Times New Roman" w:hAnsi="Times New Roman" w:cs="Times New Roman"/>
          <w:sz w:val="28"/>
          <w:szCs w:val="28"/>
        </w:rPr>
        <w:t>Андреевского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муниципального округа обеспечить целевое использование средств, указанных в пункте 2 настоящего Порядка расходования.</w:t>
      </w:r>
    </w:p>
    <w:p w:rsidR="00552D21" w:rsidRPr="00552D21" w:rsidRDefault="00552D21" w:rsidP="00552D2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D2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на информационном стенде, расположенном по адресу: 2998</w:t>
      </w:r>
      <w:r w:rsidR="001521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552D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52D21">
        <w:rPr>
          <w:rFonts w:ascii="Times New Roman" w:hAnsi="Times New Roman" w:cs="Times New Roman"/>
          <w:color w:val="000000"/>
          <w:sz w:val="28"/>
          <w:szCs w:val="28"/>
        </w:rPr>
        <w:t>г.Севастополь</w:t>
      </w:r>
      <w:proofErr w:type="spellEnd"/>
      <w:r w:rsidRPr="00552D21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152177">
        <w:rPr>
          <w:rFonts w:ascii="Times New Roman" w:hAnsi="Times New Roman" w:cs="Times New Roman"/>
          <w:color w:val="000000"/>
          <w:sz w:val="28"/>
          <w:szCs w:val="28"/>
        </w:rPr>
        <w:t xml:space="preserve"> Андреевка</w:t>
      </w:r>
      <w:r w:rsidRPr="00552D21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152177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Центральная,22</w:t>
      </w:r>
      <w:r w:rsidRPr="00552D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D21" w:rsidRPr="00552D21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552D21" w:rsidRPr="00AD231A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2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руководителя финансово-экономического отдела местной администрации </w:t>
      </w:r>
      <w:proofErr w:type="gramStart"/>
      <w:r w:rsidR="00AD231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Pr="00552D2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52D21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552D21">
        <w:rPr>
          <w:rFonts w:ascii="Times New Roman" w:hAnsi="Times New Roman" w:cs="Times New Roman"/>
          <w:sz w:val="28"/>
          <w:szCs w:val="28"/>
        </w:rPr>
        <w:t>Н</w:t>
      </w:r>
      <w:r w:rsidR="00AD231A">
        <w:rPr>
          <w:rFonts w:ascii="Times New Roman" w:hAnsi="Times New Roman" w:cs="Times New Roman"/>
          <w:sz w:val="28"/>
          <w:szCs w:val="28"/>
        </w:rPr>
        <w:t>еджмединову</w:t>
      </w:r>
      <w:proofErr w:type="spellEnd"/>
      <w:r w:rsidR="00AD231A">
        <w:rPr>
          <w:rFonts w:ascii="Times New Roman" w:hAnsi="Times New Roman" w:cs="Times New Roman"/>
          <w:sz w:val="28"/>
          <w:szCs w:val="28"/>
        </w:rPr>
        <w:t xml:space="preserve">  А.О.</w:t>
      </w:r>
    </w:p>
    <w:p w:rsidR="00AD231A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31A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31A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31A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31A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21" w:rsidRDefault="00AD231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местной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D231A" w:rsidRPr="00AD231A" w:rsidRDefault="00AD231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муниципального округа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И.Н.Валуев</w:t>
      </w:r>
      <w:proofErr w:type="spellEnd"/>
    </w:p>
    <w:p w:rsidR="00552D21" w:rsidRPr="00552D21" w:rsidRDefault="00552D21" w:rsidP="00552D21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2D2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  <w:r w:rsidRPr="00552D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p w:rsidR="00552D21" w:rsidRPr="00552D21" w:rsidRDefault="00552D21" w:rsidP="00552D21">
      <w:pPr>
        <w:pStyle w:val="a4"/>
        <w:tabs>
          <w:tab w:val="left" w:pos="5670"/>
        </w:tabs>
        <w:rPr>
          <w:rFonts w:ascii="Times New Roman" w:hAnsi="Times New Roman" w:cs="Times New Roman"/>
          <w:i/>
        </w:rPr>
      </w:pPr>
      <w:r w:rsidRPr="00552D21">
        <w:rPr>
          <w:rFonts w:ascii="Times New Roman" w:hAnsi="Times New Roman" w:cs="Times New Roman"/>
          <w:i/>
        </w:rPr>
        <w:tab/>
        <w:t>ПРИЛОЖЕНИЕ 1</w:t>
      </w:r>
    </w:p>
    <w:p w:rsidR="00552D21" w:rsidRPr="00552D21" w:rsidRDefault="00552D21" w:rsidP="00552D21">
      <w:pPr>
        <w:pStyle w:val="a4"/>
        <w:tabs>
          <w:tab w:val="left" w:pos="5670"/>
        </w:tabs>
        <w:rPr>
          <w:rFonts w:ascii="Times New Roman" w:hAnsi="Times New Roman" w:cs="Times New Roman"/>
          <w:i/>
        </w:rPr>
      </w:pPr>
      <w:r w:rsidRPr="00552D21">
        <w:rPr>
          <w:rFonts w:ascii="Times New Roman" w:hAnsi="Times New Roman" w:cs="Times New Roman"/>
          <w:i/>
        </w:rPr>
        <w:tab/>
        <w:t xml:space="preserve"> к Постановлению </w:t>
      </w:r>
    </w:p>
    <w:p w:rsidR="00552D21" w:rsidRPr="00552D21" w:rsidRDefault="00552D21" w:rsidP="00552D21">
      <w:pPr>
        <w:pStyle w:val="a4"/>
        <w:tabs>
          <w:tab w:val="left" w:pos="5670"/>
        </w:tabs>
        <w:rPr>
          <w:rFonts w:ascii="Times New Roman" w:hAnsi="Times New Roman" w:cs="Times New Roman"/>
          <w:i/>
        </w:rPr>
      </w:pPr>
      <w:r w:rsidRPr="00552D21">
        <w:rPr>
          <w:rFonts w:ascii="Times New Roman" w:hAnsi="Times New Roman" w:cs="Times New Roman"/>
          <w:i/>
        </w:rPr>
        <w:tab/>
        <w:t xml:space="preserve">МА </w:t>
      </w:r>
      <w:r w:rsidR="00AD231A">
        <w:rPr>
          <w:rFonts w:ascii="Times New Roman" w:hAnsi="Times New Roman" w:cs="Times New Roman"/>
          <w:i/>
        </w:rPr>
        <w:t>Андреевского</w:t>
      </w:r>
      <w:r w:rsidRPr="00552D21">
        <w:rPr>
          <w:rFonts w:ascii="Times New Roman" w:hAnsi="Times New Roman" w:cs="Times New Roman"/>
          <w:i/>
        </w:rPr>
        <w:t xml:space="preserve"> МО</w:t>
      </w:r>
    </w:p>
    <w:p w:rsidR="00552D21" w:rsidRPr="00552D21" w:rsidRDefault="00AD231A" w:rsidP="00552D21">
      <w:pPr>
        <w:pStyle w:val="a4"/>
        <w:tabs>
          <w:tab w:val="left" w:pos="56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552D21" w:rsidRPr="00552D21">
        <w:rPr>
          <w:rFonts w:ascii="Times New Roman" w:hAnsi="Times New Roman" w:cs="Times New Roman"/>
          <w:i/>
        </w:rPr>
        <w:t xml:space="preserve">от </w:t>
      </w:r>
      <w:r>
        <w:rPr>
          <w:rFonts w:ascii="Times New Roman" w:hAnsi="Times New Roman" w:cs="Times New Roman"/>
          <w:i/>
        </w:rPr>
        <w:t>01 сентября</w:t>
      </w:r>
      <w:r w:rsidR="00552D21" w:rsidRPr="00552D21">
        <w:rPr>
          <w:rFonts w:ascii="Times New Roman" w:hAnsi="Times New Roman" w:cs="Times New Roman"/>
          <w:i/>
        </w:rPr>
        <w:t xml:space="preserve"> 2015 г.  № </w:t>
      </w:r>
      <w:r w:rsidR="002F53A2"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</w:rPr>
        <w:t>-</w:t>
      </w:r>
      <w:r w:rsidR="00A92897">
        <w:rPr>
          <w:rFonts w:ascii="Times New Roman" w:hAnsi="Times New Roman" w:cs="Times New Roman"/>
          <w:i/>
        </w:rPr>
        <w:t>А</w:t>
      </w:r>
      <w:r w:rsidR="00552D21" w:rsidRPr="00552D21">
        <w:rPr>
          <w:rFonts w:ascii="Times New Roman" w:hAnsi="Times New Roman" w:cs="Times New Roman"/>
          <w:i/>
        </w:rPr>
        <w:t xml:space="preserve"> </w:t>
      </w:r>
    </w:p>
    <w:p w:rsidR="00552D21" w:rsidRPr="00552D21" w:rsidRDefault="00552D21" w:rsidP="00552D2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52D21" w:rsidRDefault="00552D21" w:rsidP="0055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21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средств иных межбюджетных трансфертов, передаваемых бюджетам внутригородских муниципальных образований городов федерального значения на финансовое обеспечение </w:t>
      </w:r>
      <w:r w:rsidR="002F53A2">
        <w:rPr>
          <w:rFonts w:ascii="Times New Roman" w:hAnsi="Times New Roman" w:cs="Times New Roman"/>
          <w:b/>
          <w:sz w:val="28"/>
          <w:szCs w:val="28"/>
        </w:rPr>
        <w:t xml:space="preserve">проведения спортивно-культурных мероприятий в городе </w:t>
      </w:r>
      <w:proofErr w:type="gramStart"/>
      <w:r w:rsidR="002F53A2">
        <w:rPr>
          <w:rFonts w:ascii="Times New Roman" w:hAnsi="Times New Roman" w:cs="Times New Roman"/>
          <w:b/>
          <w:sz w:val="28"/>
          <w:szCs w:val="28"/>
        </w:rPr>
        <w:t xml:space="preserve">Севастополе </w:t>
      </w:r>
      <w:r w:rsidR="00956A2D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956A2D">
        <w:rPr>
          <w:rFonts w:ascii="Times New Roman" w:hAnsi="Times New Roman" w:cs="Times New Roman"/>
          <w:b/>
          <w:sz w:val="28"/>
          <w:szCs w:val="28"/>
        </w:rPr>
        <w:t xml:space="preserve"> 2015 год </w:t>
      </w:r>
      <w:r w:rsidR="002F53A2">
        <w:rPr>
          <w:rFonts w:ascii="Times New Roman" w:hAnsi="Times New Roman" w:cs="Times New Roman"/>
          <w:b/>
          <w:sz w:val="28"/>
          <w:szCs w:val="28"/>
        </w:rPr>
        <w:t xml:space="preserve">во внутригородском муниципальном образовании  города </w:t>
      </w:r>
      <w:r w:rsidRPr="00552D21">
        <w:rPr>
          <w:rFonts w:ascii="Times New Roman" w:hAnsi="Times New Roman" w:cs="Times New Roman"/>
          <w:b/>
          <w:sz w:val="28"/>
          <w:szCs w:val="28"/>
        </w:rPr>
        <w:t xml:space="preserve"> Севастополя </w:t>
      </w:r>
      <w:r w:rsidR="00AD231A">
        <w:rPr>
          <w:rFonts w:ascii="Times New Roman" w:hAnsi="Times New Roman" w:cs="Times New Roman"/>
          <w:b/>
          <w:sz w:val="28"/>
          <w:szCs w:val="28"/>
        </w:rPr>
        <w:t>Андреевский</w:t>
      </w:r>
      <w:r w:rsidRPr="00552D21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округ.</w:t>
      </w:r>
    </w:p>
    <w:p w:rsidR="00552D21" w:rsidRPr="00661BDB" w:rsidRDefault="00661BDB" w:rsidP="00661BDB">
      <w:pPr>
        <w:pStyle w:val="a7"/>
        <w:numPr>
          <w:ilvl w:val="0"/>
          <w:numId w:val="2"/>
        </w:numPr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DB">
        <w:rPr>
          <w:rFonts w:ascii="Times New Roman" w:hAnsi="Times New Roman" w:cs="Times New Roman"/>
          <w:b/>
          <w:sz w:val="28"/>
          <w:szCs w:val="28"/>
        </w:rPr>
        <w:t xml:space="preserve">  Общие   положения</w:t>
      </w:r>
    </w:p>
    <w:p w:rsidR="00552D21" w:rsidRPr="00661BDB" w:rsidRDefault="00661BDB" w:rsidP="0063605D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1BDB">
        <w:rPr>
          <w:rFonts w:ascii="Times New Roman" w:hAnsi="Times New Roman" w:cs="Times New Roman"/>
          <w:sz w:val="28"/>
          <w:szCs w:val="28"/>
        </w:rPr>
        <w:t>1.1.</w:t>
      </w:r>
      <w:r w:rsidR="00552D21" w:rsidRPr="00661BDB">
        <w:rPr>
          <w:rFonts w:ascii="Times New Roman" w:hAnsi="Times New Roman" w:cs="Times New Roman"/>
          <w:sz w:val="28"/>
          <w:szCs w:val="28"/>
        </w:rPr>
        <w:t>Настоящий Порядок определяет механизм расходования и учета средств, предоставляемых бюджетом города Севастополя в виде иных межбюджетных трансфертов, передаваемых бюджетам внутригородских муниципальных образований городов федерального значения на финансовое обеспечение</w:t>
      </w:r>
      <w:r w:rsidRPr="00661BDB">
        <w:rPr>
          <w:rFonts w:ascii="Times New Roman" w:hAnsi="Times New Roman" w:cs="Times New Roman"/>
          <w:sz w:val="28"/>
          <w:szCs w:val="28"/>
        </w:rPr>
        <w:t xml:space="preserve"> проведения спортивно-культурных мероприятий </w:t>
      </w:r>
      <w:r w:rsidR="00552D21" w:rsidRPr="00661BDB">
        <w:rPr>
          <w:rFonts w:ascii="Times New Roman" w:hAnsi="Times New Roman" w:cs="Times New Roman"/>
          <w:sz w:val="28"/>
          <w:szCs w:val="28"/>
        </w:rPr>
        <w:t xml:space="preserve"> </w:t>
      </w:r>
      <w:r w:rsidRPr="00661BDB">
        <w:rPr>
          <w:rFonts w:ascii="Times New Roman" w:hAnsi="Times New Roman" w:cs="Times New Roman"/>
          <w:sz w:val="28"/>
          <w:szCs w:val="28"/>
        </w:rPr>
        <w:t>в 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1BDB">
        <w:rPr>
          <w:rFonts w:ascii="Times New Roman" w:hAnsi="Times New Roman" w:cs="Times New Roman"/>
          <w:sz w:val="28"/>
          <w:szCs w:val="28"/>
        </w:rPr>
        <w:t xml:space="preserve">е  Севастополе (далее- межбюджетный трансферт) на </w:t>
      </w:r>
      <w:r w:rsidR="00552D21" w:rsidRPr="00661BDB">
        <w:rPr>
          <w:rFonts w:ascii="Times New Roman" w:hAnsi="Times New Roman" w:cs="Times New Roman"/>
          <w:sz w:val="28"/>
          <w:szCs w:val="28"/>
        </w:rPr>
        <w:t xml:space="preserve">2015 год во внутригородском муниципальном образовании города Севастополя </w:t>
      </w:r>
      <w:r w:rsidR="00AD231A" w:rsidRPr="00661BDB">
        <w:rPr>
          <w:rFonts w:ascii="Times New Roman" w:hAnsi="Times New Roman" w:cs="Times New Roman"/>
          <w:sz w:val="28"/>
          <w:szCs w:val="28"/>
        </w:rPr>
        <w:t>Андреевский</w:t>
      </w:r>
      <w:r w:rsidR="00552D21" w:rsidRPr="00661BDB">
        <w:rPr>
          <w:rFonts w:ascii="Times New Roman" w:hAnsi="Times New Roman" w:cs="Times New Roman"/>
          <w:sz w:val="28"/>
          <w:szCs w:val="28"/>
        </w:rPr>
        <w:t xml:space="preserve"> муниципальный округ, в соответствии с постановлением Правительства Севастополя от 26.06.2015г № 568-ПП (далее - межбюджетный трансферт).</w:t>
      </w:r>
    </w:p>
    <w:p w:rsidR="00661BDB" w:rsidRDefault="00661BDB" w:rsidP="0063605D">
      <w:pPr>
        <w:pStyle w:val="a7"/>
        <w:numPr>
          <w:ilvl w:val="1"/>
          <w:numId w:val="3"/>
        </w:num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регламентирует финансирование проведения  </w:t>
      </w:r>
      <w:r w:rsidR="006360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спортивно- культурных мероприятий во внутригородском муниципальном образовании города Севастополя  Андреевский   муниципальный  округ в пределах соответствующих бюджетных  назначений  за счет средств межбюджетного трансферта  на 2015 год.</w:t>
      </w:r>
    </w:p>
    <w:p w:rsidR="009F25B1" w:rsidRDefault="00661BDB" w:rsidP="0063605D">
      <w:pPr>
        <w:pStyle w:val="a7"/>
        <w:numPr>
          <w:ilvl w:val="1"/>
          <w:numId w:val="3"/>
        </w:num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 спортивно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 культурными мероприятиями понимаются спортивные  и культурные организованные мероприятия, посвященные  государственным, городским, местным,  религиозным, праздничным  дням, памятным датам и иным социально- значимым событиям(далее- меропри</w:t>
      </w:r>
      <w:r w:rsidR="009F25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9F25B1">
        <w:rPr>
          <w:rFonts w:ascii="Times New Roman" w:hAnsi="Times New Roman" w:cs="Times New Roman"/>
          <w:sz w:val="28"/>
          <w:szCs w:val="28"/>
        </w:rPr>
        <w:t>).</w:t>
      </w:r>
    </w:p>
    <w:p w:rsidR="009F25B1" w:rsidRDefault="009F25B1" w:rsidP="009F25B1">
      <w:pPr>
        <w:pStyle w:val="a7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F25B1" w:rsidRDefault="009F25B1" w:rsidP="009F25B1">
      <w:pPr>
        <w:pStyle w:val="a7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D">
        <w:rPr>
          <w:rFonts w:ascii="Times New Roman" w:hAnsi="Times New Roman" w:cs="Times New Roman"/>
          <w:b/>
          <w:sz w:val="28"/>
          <w:szCs w:val="28"/>
        </w:rPr>
        <w:t>2. Порядок определения расходов на проведение мероприятий.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2.1 Мероприятия проводятся в соответствии с планом мероприятий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63605D">
        <w:rPr>
          <w:rFonts w:ascii="Times New Roman" w:hAnsi="Times New Roman" w:cs="Times New Roman"/>
          <w:sz w:val="28"/>
          <w:szCs w:val="28"/>
        </w:rPr>
        <w:t xml:space="preserve"> муниципальный округ, утвержденным постановлением местной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63605D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местная </w:t>
      </w:r>
      <w:r w:rsidRPr="0063605D">
        <w:rPr>
          <w:rFonts w:ascii="Times New Roman" w:hAnsi="Times New Roman" w:cs="Times New Roman"/>
          <w:sz w:val="28"/>
          <w:szCs w:val="28"/>
        </w:rPr>
        <w:lastRenderedPageBreak/>
        <w:t>администрация) на текущий финансовый год. В плане мероприятий указывается дата проведения, наименование мероприятия, цель, место его проведения, ответственные исполнители.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2.2 Использование средств на организацию мероприятий осуществляется на основании распоряжения местной администрации о подготовке и проведении мероприятия с утверждением сметы расходов на его проведение.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2.3 </w:t>
      </w:r>
      <w:proofErr w:type="gramStart"/>
      <w:r w:rsidRPr="006360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05D">
        <w:rPr>
          <w:rFonts w:ascii="Times New Roman" w:hAnsi="Times New Roman" w:cs="Times New Roman"/>
          <w:sz w:val="28"/>
          <w:szCs w:val="28"/>
        </w:rPr>
        <w:t xml:space="preserve"> смету расходов на проведение мероприятий могут быть включены следующие расходы, необходимые для организации и проведения мероприятия: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по обеспечению мероприятия техническим оборудованием (световым, звуковым, музыкальным и прочим), необходимым для проведения мероприятия;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приобретение канцелярских товаров, расходных материалов, изготовление буклетов, вымпелов, афиш, печатной продукции, печать баннеров, пошив флагов, заправку картриджей;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по предоставлению автотранспорта для перевозки участников мероприятия, оборудования, в том числе предоставления автотранспорта специального назначения;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оказание услуг по монтажу и демонтажу оборудования, необходимого для проведения мероприятия;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предоставление услуг по изготовлению различного рода конструкций, необходимых для проведения мероприятий и оформления мест проведения мероприятий;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изготовление и приобретение памятной атрибутик</w:t>
      </w:r>
      <w:r w:rsidR="008665A4">
        <w:rPr>
          <w:rFonts w:ascii="Times New Roman" w:hAnsi="Times New Roman" w:cs="Times New Roman"/>
          <w:sz w:val="28"/>
          <w:szCs w:val="28"/>
        </w:rPr>
        <w:t>и</w:t>
      </w:r>
      <w:r w:rsidRPr="0063605D">
        <w:rPr>
          <w:rFonts w:ascii="Times New Roman" w:hAnsi="Times New Roman" w:cs="Times New Roman"/>
          <w:sz w:val="28"/>
          <w:szCs w:val="28"/>
        </w:rPr>
        <w:t xml:space="preserve"> с символикой мероприятия, а также символикой города Севастополя и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8"/>
          <w:szCs w:val="28"/>
        </w:rPr>
        <w:t>Андреевский</w:t>
      </w:r>
      <w:r w:rsidRPr="0063605D">
        <w:rPr>
          <w:rFonts w:ascii="Times New Roman" w:hAnsi="Times New Roman" w:cs="Times New Roman"/>
          <w:sz w:val="28"/>
          <w:szCs w:val="28"/>
        </w:rPr>
        <w:t xml:space="preserve"> муниципальный округ;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приобретение предметов для награждения участников мероприятия (дипломов, кубков, рамок, сувенирной продукции, памятных призов, ценных подарков, цветочной продукции, венков, корзин</w:t>
      </w:r>
      <w:r w:rsidR="004E49C0">
        <w:rPr>
          <w:rFonts w:ascii="Times New Roman" w:hAnsi="Times New Roman" w:cs="Times New Roman"/>
          <w:sz w:val="28"/>
          <w:szCs w:val="28"/>
        </w:rPr>
        <w:t>, сладких призов</w:t>
      </w:r>
      <w:r w:rsidRPr="0063605D">
        <w:rPr>
          <w:rFonts w:ascii="Times New Roman" w:hAnsi="Times New Roman" w:cs="Times New Roman"/>
          <w:sz w:val="28"/>
          <w:szCs w:val="28"/>
        </w:rPr>
        <w:t xml:space="preserve"> и других сопутствующих товаров);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организацию пунктов питания во время проведения мероприятий;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на другие расходы, необходимые для проведения мероприятий.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2.4 </w:t>
      </w:r>
      <w:proofErr w:type="gramStart"/>
      <w:r w:rsidRPr="006360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05D">
        <w:rPr>
          <w:rFonts w:ascii="Times New Roman" w:hAnsi="Times New Roman" w:cs="Times New Roman"/>
          <w:sz w:val="28"/>
          <w:szCs w:val="28"/>
        </w:rPr>
        <w:t xml:space="preserve"> случае проведения мероприятия с участием приглашенных лиц в смету могут быть включены следующие виды расходов: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lastRenderedPageBreak/>
        <w:t>- компенсация расходов по проживанию приглашенных лиц по фактическим расходам, подтвержденным соответствующими документами, но не более стоимости одноместного гостиничного номера;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компенсация расходов по приезду приглашенных лиц по фактическим расходам, подтвержденным соответствующими документами, но не выше стоимости проезда воздушным транспортом тарифа экономического класса;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компенсация расходов по питанию приглашенных лиц в размере не более 300 (триста) рублей в день на одного участника мероприятия.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2.5 Проект распоряжения местной администрации с указанием размера выделяемых средств, направление их расходования и ответственного исполнителя за проведение мероприятия должен быть представлен в установленном порядке на согласование в Департамент финансов города Севастополя.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К проекту распоряжения обязательно прилагается: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- план проведения мероприятий с указанием срока их проведения, направлений и объемов расходов; 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- финансовые расчеты и обоснования заявленных сумм по указанным направлениям, заверенные подписью главы ВМО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Pr="0063605D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Pr="0063605D">
        <w:rPr>
          <w:rFonts w:ascii="Times New Roman" w:hAnsi="Times New Roman" w:cs="Times New Roman"/>
          <w:sz w:val="28"/>
          <w:szCs w:val="28"/>
        </w:rPr>
        <w:t>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детализированную смету по видам расходов;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документы, подтверждающие возникновение соответствующих денежных обязательств.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2.6 Нормативы финансирования мероприятий утверждаются с учетом сложившихся на территории города Севастополя цен и действующих тарифов, обеспечивающих наиболее экономичное проведение мероприятий и рациональное использование бюджетных средств.</w:t>
      </w:r>
    </w:p>
    <w:p w:rsidR="0063605D" w:rsidRPr="0063605D" w:rsidRDefault="0063605D" w:rsidP="0063605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Default="0063605D" w:rsidP="0063605D">
      <w:pPr>
        <w:pStyle w:val="a7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3605D">
        <w:rPr>
          <w:rFonts w:ascii="Times New Roman" w:hAnsi="Times New Roman" w:cs="Times New Roman"/>
          <w:b/>
          <w:sz w:val="28"/>
          <w:szCs w:val="28"/>
        </w:rPr>
        <w:t>Оформление документов, предоставление отчетности.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3.1 Расходование средств признается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3.2 По окончании мероприятий отчетным лицом, ответственным за их проведение, составляется отчет (приложение к настоящему Положению), подтверждающий фактически произведенные расходы, с приложением к нему первичных учетных документов.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В течение трех дней после проведения мероприятий лицо, получившее наличные денежные средства на проведение указанных мероприятий, обязано </w:t>
      </w:r>
      <w:r w:rsidRPr="0063605D">
        <w:rPr>
          <w:rFonts w:ascii="Times New Roman" w:hAnsi="Times New Roman" w:cs="Times New Roman"/>
          <w:sz w:val="28"/>
          <w:szCs w:val="28"/>
        </w:rPr>
        <w:lastRenderedPageBreak/>
        <w:t>отчитаться, предоставив главному бухгалтеру местной администрации авансовый отчет с приложением к нему отчета о произведенных представительских расходах и первичных документов, либо внести в кассу неиспользованные денежные средства.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3.3 Затраты на расходы подтверждаются следующими документами: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акт об осуществлении расходов;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акт о списании материальных запасов установленной формы, подписанный должностным лицом;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список участников мероприятий, включающий представителей органов исполнительной власти и приглашенных лиц;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документы, подтверждающие проживание в гостинице и проезд к месту проведения мероприятия и обратно;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товарный чек, квитанция или другой документ подтверждающий прием денежных средств за соответствующий товар (услугу);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отчет о произведенных расходах на проведение массовых и общественных мероприятий (приложение № 1 к настоящему Порядку);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- авансовый отчет материально ответственного лица.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Указанные документы предоставляются главному бухгалтеру местной администрации лицом, ответственным за проведение мероприятия.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3.4 Приобретенные материальные ценности подлежат оприходованию и отражаются в бюджетном учете местной администрации.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3.5 Расходы, связанные с проведением мероприятий, могут быть произведены как за наличные, так и за безналичные средства.</w:t>
      </w:r>
    </w:p>
    <w:p w:rsidR="0063605D" w:rsidRPr="0063605D" w:rsidRDefault="0063605D" w:rsidP="0063605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Default="004E4524" w:rsidP="004E452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 </w:t>
      </w:r>
      <w:r w:rsidR="0063605D" w:rsidRPr="0063605D">
        <w:rPr>
          <w:rFonts w:ascii="Times New Roman" w:hAnsi="Times New Roman" w:cs="Times New Roman"/>
          <w:b/>
          <w:sz w:val="28"/>
          <w:szCs w:val="28"/>
        </w:rPr>
        <w:t>Контроль за целевым использованием средств</w:t>
      </w:r>
    </w:p>
    <w:p w:rsidR="0063605D" w:rsidRP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>4.1 Контроль за целевым использованием средств бюджета, предоставляемых из бюджета города Севастополя в виде межбюджетных трансфертов, осуществляет руководитель финансово-экономического отдела местной администрации.</w:t>
      </w:r>
    </w:p>
    <w:p w:rsidR="0063605D" w:rsidRDefault="0063605D" w:rsidP="00636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t xml:space="preserve">4.2 </w:t>
      </w:r>
      <w:proofErr w:type="gramStart"/>
      <w:r w:rsidRPr="006360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05D">
        <w:rPr>
          <w:rFonts w:ascii="Times New Roman" w:hAnsi="Times New Roman" w:cs="Times New Roman"/>
          <w:sz w:val="28"/>
          <w:szCs w:val="28"/>
        </w:rPr>
        <w:t xml:space="preserve"> случае использования средств не по целевому назначению соответствующие средства подлежат взысканию в доход бюджета г. Севастополя в соответствии с бюджетным законодательством Российской Федерации в срок до 20-го декабря 2015 года. </w:t>
      </w:r>
    </w:p>
    <w:p w:rsidR="004E4524" w:rsidRPr="0063605D" w:rsidRDefault="004E4524" w:rsidP="00636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5D" w:rsidRPr="0063605D" w:rsidRDefault="0063605D" w:rsidP="00636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5D">
        <w:rPr>
          <w:rFonts w:ascii="Times New Roman" w:hAnsi="Times New Roman" w:cs="Times New Roman"/>
          <w:sz w:val="28"/>
          <w:szCs w:val="28"/>
        </w:rPr>
        <w:lastRenderedPageBreak/>
        <w:t>4.3 Финансово-экономический отдел местной администрации формирует отчет об использовании средств межбюджетного трансферта и направляет его в финансовый орган ежемесячно до 7-го числа месяца, следующего за отчетным, за год – до 20 января года следующего за отчетным периодом.</w:t>
      </w:r>
    </w:p>
    <w:p w:rsidR="0063605D" w:rsidRDefault="0063605D" w:rsidP="00636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24" w:rsidRDefault="004E4524" w:rsidP="00636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24" w:rsidRPr="0063605D" w:rsidRDefault="004E4524" w:rsidP="00636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1899"/>
      </w:tblGrid>
      <w:tr w:rsidR="0063605D" w:rsidRPr="0063605D" w:rsidTr="00672FAA">
        <w:tc>
          <w:tcPr>
            <w:tcW w:w="5495" w:type="dxa"/>
            <w:vAlign w:val="center"/>
          </w:tcPr>
          <w:p w:rsidR="0063605D" w:rsidRPr="004E4524" w:rsidRDefault="0063605D" w:rsidP="004E4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524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Глава ВМО </w:t>
            </w:r>
            <w:r w:rsidR="004E4524" w:rsidRPr="004E4524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Андреевский  </w:t>
            </w:r>
            <w:r w:rsidRPr="004E4524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МО</w:t>
            </w:r>
            <w:r w:rsidR="004E4524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 xml:space="preserve">           </w:t>
            </w:r>
          </w:p>
        </w:tc>
        <w:tc>
          <w:tcPr>
            <w:tcW w:w="2268" w:type="dxa"/>
            <w:vAlign w:val="center"/>
          </w:tcPr>
          <w:p w:rsidR="0063605D" w:rsidRPr="0063605D" w:rsidRDefault="004E4524" w:rsidP="00672FA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И.Н.Валуев</w:t>
            </w:r>
            <w:proofErr w:type="spellEnd"/>
          </w:p>
        </w:tc>
        <w:tc>
          <w:tcPr>
            <w:tcW w:w="1899" w:type="dxa"/>
            <w:vAlign w:val="center"/>
          </w:tcPr>
          <w:p w:rsidR="0063605D" w:rsidRPr="0063605D" w:rsidRDefault="0063605D" w:rsidP="00672FA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605D" w:rsidRPr="0063605D" w:rsidRDefault="0063605D" w:rsidP="0063605D">
      <w:pPr>
        <w:spacing w:after="0"/>
        <w:ind w:firstLine="5245"/>
        <w:rPr>
          <w:rFonts w:ascii="Times New Roman" w:hAnsi="Times New Roman" w:cs="Times New Roman"/>
          <w:i/>
          <w:sz w:val="28"/>
          <w:szCs w:val="28"/>
        </w:rPr>
      </w:pPr>
      <w:r w:rsidRPr="0063605D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6360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956A2D" w:rsidRDefault="0063605D" w:rsidP="00636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6A2D">
        <w:rPr>
          <w:rFonts w:ascii="Times New Roman" w:hAnsi="Times New Roman" w:cs="Times New Roman"/>
          <w:i/>
          <w:sz w:val="24"/>
          <w:szCs w:val="24"/>
        </w:rPr>
        <w:t xml:space="preserve">к Порядку расходования </w:t>
      </w:r>
      <w:proofErr w:type="gramStart"/>
      <w:r w:rsidRPr="00956A2D">
        <w:rPr>
          <w:rFonts w:ascii="Times New Roman" w:hAnsi="Times New Roman" w:cs="Times New Roman"/>
          <w:i/>
          <w:sz w:val="24"/>
          <w:szCs w:val="24"/>
        </w:rPr>
        <w:t xml:space="preserve">средств </w:t>
      </w:r>
      <w:r w:rsidR="000E5294" w:rsidRPr="00956A2D">
        <w:rPr>
          <w:rFonts w:ascii="Times New Roman" w:hAnsi="Times New Roman" w:cs="Times New Roman"/>
          <w:i/>
          <w:sz w:val="24"/>
          <w:szCs w:val="24"/>
        </w:rPr>
        <w:t xml:space="preserve"> иных</w:t>
      </w:r>
      <w:proofErr w:type="gramEnd"/>
      <w:r w:rsidR="000E5294" w:rsidRPr="00956A2D">
        <w:rPr>
          <w:rFonts w:ascii="Times New Roman" w:hAnsi="Times New Roman" w:cs="Times New Roman"/>
          <w:i/>
          <w:sz w:val="24"/>
          <w:szCs w:val="24"/>
        </w:rPr>
        <w:t xml:space="preserve"> межбюджетных трансфертов, передаваемых бюджетам внутригородских муниципальных образований городов федерального значения на финансовое обеспечение проведения </w:t>
      </w:r>
      <w:r w:rsidR="00956A2D" w:rsidRPr="00956A2D">
        <w:rPr>
          <w:rFonts w:ascii="Times New Roman" w:hAnsi="Times New Roman" w:cs="Times New Roman"/>
          <w:i/>
          <w:sz w:val="24"/>
          <w:szCs w:val="24"/>
        </w:rPr>
        <w:t>спортивно-культурных мероприятий в городе Севастополе на 2015 год</w:t>
      </w:r>
      <w:r w:rsidR="00956A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56A2D" w:rsidRPr="00956A2D">
        <w:rPr>
          <w:rFonts w:ascii="Times New Roman" w:hAnsi="Times New Roman" w:cs="Times New Roman"/>
          <w:i/>
          <w:sz w:val="24"/>
          <w:szCs w:val="24"/>
        </w:rPr>
        <w:t xml:space="preserve">во  ВМО города Севастополя Андреевский  МО, </w:t>
      </w:r>
    </w:p>
    <w:p w:rsidR="0063605D" w:rsidRDefault="00956A2D" w:rsidP="006360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6A2D">
        <w:rPr>
          <w:rFonts w:ascii="Times New Roman" w:hAnsi="Times New Roman" w:cs="Times New Roman"/>
          <w:i/>
          <w:sz w:val="24"/>
          <w:szCs w:val="24"/>
        </w:rPr>
        <w:t>утвержденного  01.09.2015</w:t>
      </w:r>
      <w:proofErr w:type="gramEnd"/>
      <w:r w:rsidRPr="00956A2D">
        <w:rPr>
          <w:rFonts w:ascii="Times New Roman" w:hAnsi="Times New Roman" w:cs="Times New Roman"/>
          <w:i/>
          <w:sz w:val="24"/>
          <w:szCs w:val="24"/>
        </w:rPr>
        <w:t xml:space="preserve"> № 10-А</w:t>
      </w:r>
    </w:p>
    <w:p w:rsidR="00956A2D" w:rsidRPr="00956A2D" w:rsidRDefault="00956A2D" w:rsidP="0063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5D" w:rsidRPr="0063605D" w:rsidRDefault="0063605D" w:rsidP="00636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D">
        <w:rPr>
          <w:rFonts w:ascii="Times New Roman" w:hAnsi="Times New Roman" w:cs="Times New Roman"/>
          <w:b/>
          <w:sz w:val="28"/>
          <w:szCs w:val="28"/>
        </w:rPr>
        <w:t>Отчет №______</w:t>
      </w:r>
    </w:p>
    <w:p w:rsidR="0063605D" w:rsidRPr="0063605D" w:rsidRDefault="0063605D" w:rsidP="00636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D">
        <w:rPr>
          <w:rFonts w:ascii="Times New Roman" w:hAnsi="Times New Roman" w:cs="Times New Roman"/>
          <w:b/>
          <w:sz w:val="28"/>
          <w:szCs w:val="28"/>
        </w:rPr>
        <w:t>от «___» _______________ 20__ г.</w:t>
      </w:r>
    </w:p>
    <w:p w:rsidR="0063605D" w:rsidRPr="0063605D" w:rsidRDefault="0063605D" w:rsidP="00636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5D" w:rsidRPr="00956A2D" w:rsidRDefault="0063605D" w:rsidP="0063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2D">
        <w:rPr>
          <w:rFonts w:ascii="Times New Roman" w:hAnsi="Times New Roman" w:cs="Times New Roman"/>
          <w:b/>
          <w:sz w:val="24"/>
          <w:szCs w:val="24"/>
        </w:rPr>
        <w:t xml:space="preserve">о проведенных расходах на проведение </w:t>
      </w:r>
      <w:r w:rsidR="00956A2D" w:rsidRPr="00956A2D">
        <w:rPr>
          <w:rFonts w:ascii="Times New Roman" w:hAnsi="Times New Roman" w:cs="Times New Roman"/>
          <w:b/>
          <w:sz w:val="24"/>
          <w:szCs w:val="24"/>
        </w:rPr>
        <w:t>спортивно-культурных</w:t>
      </w:r>
    </w:p>
    <w:p w:rsidR="00956A2D" w:rsidRPr="00956A2D" w:rsidRDefault="00956A2D" w:rsidP="00636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2D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63605D" w:rsidRPr="00956A2D" w:rsidRDefault="0063605D" w:rsidP="0063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В целях</w:t>
      </w:r>
    </w:p>
    <w:p w:rsidR="0063605D" w:rsidRPr="00956A2D" w:rsidRDefault="0063605D" w:rsidP="0063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05D" w:rsidRPr="00956A2D" w:rsidRDefault="0063605D" w:rsidP="0063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(наименование мероприятия, реквизиты распорядительного документа)</w:t>
      </w:r>
    </w:p>
    <w:p w:rsidR="0063605D" w:rsidRPr="00956A2D" w:rsidRDefault="0063605D" w:rsidP="0063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были проведены</w:t>
      </w:r>
    </w:p>
    <w:p w:rsidR="0063605D" w:rsidRPr="00956A2D" w:rsidRDefault="0063605D" w:rsidP="0063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3605D" w:rsidRPr="00956A2D" w:rsidRDefault="0063605D" w:rsidP="00636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(наименование расходов)</w:t>
      </w:r>
    </w:p>
    <w:p w:rsidR="0063605D" w:rsidRPr="00956A2D" w:rsidRDefault="0063605D" w:rsidP="006360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Присутствовали на мероприятии</w:t>
      </w:r>
    </w:p>
    <w:p w:rsidR="0063605D" w:rsidRPr="00956A2D" w:rsidRDefault="0063605D" w:rsidP="006360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Представители органа исполнительной власти:</w:t>
      </w:r>
    </w:p>
    <w:p w:rsidR="0063605D" w:rsidRPr="00956A2D" w:rsidRDefault="0063605D" w:rsidP="0063605D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605D" w:rsidRPr="00956A2D" w:rsidRDefault="0063605D" w:rsidP="0063605D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605D" w:rsidRPr="00956A2D" w:rsidRDefault="0063605D" w:rsidP="0063605D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605D" w:rsidRPr="00956A2D" w:rsidRDefault="0063605D" w:rsidP="00636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605D" w:rsidRDefault="0063605D" w:rsidP="006360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Приобретенные материальные ценности использованы на:</w:t>
      </w:r>
    </w:p>
    <w:p w:rsidR="00956A2D" w:rsidRPr="00956A2D" w:rsidRDefault="00956A2D" w:rsidP="006360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3605D" w:rsidRPr="00956A2D" w:rsidRDefault="0063605D" w:rsidP="0063605D">
      <w:pPr>
        <w:pStyle w:val="a7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Вручение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565"/>
        <w:gridCol w:w="1985"/>
        <w:gridCol w:w="1701"/>
        <w:gridCol w:w="1701"/>
      </w:tblGrid>
      <w:tr w:rsidR="0063605D" w:rsidRPr="00956A2D" w:rsidTr="00672FAA">
        <w:tc>
          <w:tcPr>
            <w:tcW w:w="1966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565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(Ф.И.О. физ. лица)</w:t>
            </w:r>
          </w:p>
        </w:tc>
        <w:tc>
          <w:tcPr>
            <w:tcW w:w="1985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701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605D" w:rsidRPr="00956A2D" w:rsidTr="00672FAA">
        <w:tc>
          <w:tcPr>
            <w:tcW w:w="1966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2D" w:rsidRPr="00956A2D" w:rsidTr="00672FAA">
        <w:tc>
          <w:tcPr>
            <w:tcW w:w="1966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2D" w:rsidRPr="00956A2D" w:rsidTr="00672FAA">
        <w:tc>
          <w:tcPr>
            <w:tcW w:w="1966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5D" w:rsidRPr="00956A2D" w:rsidRDefault="0063605D" w:rsidP="0063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5D" w:rsidRPr="00956A2D" w:rsidRDefault="0063605D" w:rsidP="0063605D">
      <w:pPr>
        <w:pStyle w:val="a7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Иные цели (указать какие)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2257"/>
        <w:gridCol w:w="1977"/>
        <w:gridCol w:w="1668"/>
        <w:gridCol w:w="1461"/>
      </w:tblGrid>
      <w:tr w:rsidR="0063605D" w:rsidRPr="00956A2D" w:rsidTr="004E4524">
        <w:tc>
          <w:tcPr>
            <w:tcW w:w="1982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257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(Ф.И.О. физ. лица)</w:t>
            </w:r>
          </w:p>
        </w:tc>
        <w:tc>
          <w:tcPr>
            <w:tcW w:w="1977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</w:p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668" w:type="dxa"/>
            <w:shd w:val="clear" w:color="auto" w:fill="auto"/>
          </w:tcPr>
          <w:p w:rsidR="0063605D" w:rsidRPr="00956A2D" w:rsidRDefault="0063605D" w:rsidP="0067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1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3605D" w:rsidRPr="00956A2D" w:rsidTr="004E4524">
        <w:tc>
          <w:tcPr>
            <w:tcW w:w="1982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3605D" w:rsidRPr="00956A2D" w:rsidRDefault="0063605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2D" w:rsidRPr="00956A2D" w:rsidTr="004E4524">
        <w:tc>
          <w:tcPr>
            <w:tcW w:w="1982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2D" w:rsidRPr="00956A2D" w:rsidTr="004E4524">
        <w:tc>
          <w:tcPr>
            <w:tcW w:w="1982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956A2D" w:rsidRPr="00956A2D" w:rsidRDefault="00956A2D" w:rsidP="00672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5D" w:rsidRPr="00956A2D" w:rsidRDefault="0063605D" w:rsidP="00636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ab/>
      </w:r>
    </w:p>
    <w:p w:rsidR="0063605D" w:rsidRPr="00956A2D" w:rsidRDefault="0063605D" w:rsidP="00636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ab/>
        <w:t>Источник финансирования ____________________________</w:t>
      </w:r>
    </w:p>
    <w:p w:rsidR="0063605D" w:rsidRDefault="0063605D" w:rsidP="006360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Авансовый отчет с подтверждающими документами прилагается на ______ листах</w:t>
      </w:r>
    </w:p>
    <w:p w:rsidR="00956A2D" w:rsidRDefault="00956A2D" w:rsidP="006360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3605D" w:rsidRDefault="0063605D" w:rsidP="00636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Подпись отчетного лица ______________/__________________/</w:t>
      </w:r>
    </w:p>
    <w:p w:rsidR="00956A2D" w:rsidRDefault="00956A2D" w:rsidP="0063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A2D" w:rsidRDefault="00956A2D" w:rsidP="0063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A2D" w:rsidRDefault="00956A2D" w:rsidP="0063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A2D" w:rsidRDefault="00956A2D" w:rsidP="0063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A2D" w:rsidRPr="00956A2D" w:rsidRDefault="00956A2D" w:rsidP="00636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5D" w:rsidRDefault="0063605D" w:rsidP="0063605D">
      <w:pPr>
        <w:widowControl w:val="0"/>
        <w:spacing w:after="0" w:line="100" w:lineRule="atLeast"/>
      </w:pPr>
    </w:p>
    <w:p w:rsidR="002B69B4" w:rsidRPr="00552D21" w:rsidRDefault="002B6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9B4" w:rsidRPr="0055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B74"/>
    <w:multiLevelType w:val="multilevel"/>
    <w:tmpl w:val="B6C89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 w15:restartNumberingAfterBreak="0">
    <w:nsid w:val="1B007AD1"/>
    <w:multiLevelType w:val="hybridMultilevel"/>
    <w:tmpl w:val="E848B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DD1"/>
    <w:multiLevelType w:val="hybridMultilevel"/>
    <w:tmpl w:val="03AAD61E"/>
    <w:lvl w:ilvl="0" w:tplc="8D907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B740CA"/>
    <w:multiLevelType w:val="hybridMultilevel"/>
    <w:tmpl w:val="68DC5008"/>
    <w:lvl w:ilvl="0" w:tplc="AE2E9B9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1CC2"/>
    <w:multiLevelType w:val="hybridMultilevel"/>
    <w:tmpl w:val="6C2684BA"/>
    <w:lvl w:ilvl="0" w:tplc="41D055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97C5F"/>
    <w:rsid w:val="000E5294"/>
    <w:rsid w:val="001201DF"/>
    <w:rsid w:val="00152177"/>
    <w:rsid w:val="001D2D8F"/>
    <w:rsid w:val="002B69B4"/>
    <w:rsid w:val="002F53A2"/>
    <w:rsid w:val="003729BC"/>
    <w:rsid w:val="00424854"/>
    <w:rsid w:val="0042577B"/>
    <w:rsid w:val="004E4524"/>
    <w:rsid w:val="004E49C0"/>
    <w:rsid w:val="00520D55"/>
    <w:rsid w:val="00552D21"/>
    <w:rsid w:val="0063605D"/>
    <w:rsid w:val="006436CE"/>
    <w:rsid w:val="00661BDB"/>
    <w:rsid w:val="00671F79"/>
    <w:rsid w:val="00763EDA"/>
    <w:rsid w:val="007B00AD"/>
    <w:rsid w:val="007B1845"/>
    <w:rsid w:val="0083026E"/>
    <w:rsid w:val="00832A2F"/>
    <w:rsid w:val="00864524"/>
    <w:rsid w:val="008665A4"/>
    <w:rsid w:val="008B0748"/>
    <w:rsid w:val="00956A2D"/>
    <w:rsid w:val="00961FCA"/>
    <w:rsid w:val="009F25B1"/>
    <w:rsid w:val="00A423CC"/>
    <w:rsid w:val="00A92897"/>
    <w:rsid w:val="00AD231A"/>
    <w:rsid w:val="00B75D53"/>
    <w:rsid w:val="00C355A6"/>
    <w:rsid w:val="00C433B0"/>
    <w:rsid w:val="00D57A6B"/>
    <w:rsid w:val="00D86D22"/>
    <w:rsid w:val="00DF0737"/>
    <w:rsid w:val="00E977EE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DC55-2B05-4697-BA4E-43973F7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2015-10-19T10:55:00Z</cp:lastPrinted>
  <dcterms:created xsi:type="dcterms:W3CDTF">2015-09-02T15:11:00Z</dcterms:created>
  <dcterms:modified xsi:type="dcterms:W3CDTF">2015-10-19T10:56:00Z</dcterms:modified>
</cp:coreProperties>
</file>